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6AED2BE6" w:rsidR="006166ED" w:rsidRPr="006166ED" w:rsidRDefault="006166ED" w:rsidP="006A2BB9">
      <w:pPr>
        <w:widowControl/>
        <w:autoSpaceDE/>
        <w:autoSpaceDN/>
        <w:spacing w:after="120" w:line="300"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4D0687AC" w:rsidR="006166ED" w:rsidRDefault="00BD50FA" w:rsidP="006A2BB9">
      <w:pPr>
        <w:widowControl/>
        <w:autoSpaceDE/>
        <w:autoSpaceDN/>
        <w:spacing w:line="300" w:lineRule="auto"/>
        <w:ind w:right="2600"/>
        <w:rPr>
          <w:rFonts w:ascii="Arial" w:eastAsia="Times New Roman" w:hAnsi="Arial" w:cs="Arial"/>
          <w:lang w:bidi="ar-SA"/>
        </w:rPr>
      </w:pPr>
      <w:r w:rsidRPr="00BD50FA">
        <w:rPr>
          <w:rFonts w:ascii="Arial" w:eastAsia="Times New Roman" w:hAnsi="Arial" w:cs="Arial"/>
          <w:lang w:bidi="ar-SA"/>
        </w:rPr>
        <w:t>To identify patients with certain complaints for which appropriate care may be provided via telemedicine, while overcoming individual barriers (e.g. time, distance, transportation difficulties)</w:t>
      </w:r>
      <w:r w:rsidR="00A13CFE" w:rsidRPr="00A13CFE">
        <w:rPr>
          <w:rFonts w:ascii="Arial" w:eastAsia="Times New Roman" w:hAnsi="Arial" w:cs="Arial"/>
          <w:lang w:bidi="ar-SA"/>
        </w:rPr>
        <w:t>.</w:t>
      </w:r>
    </w:p>
    <w:p w14:paraId="1B43DC96" w14:textId="77777777" w:rsidR="00A13CFE" w:rsidRPr="006A2BB9" w:rsidRDefault="00A13CFE" w:rsidP="006A2BB9">
      <w:pPr>
        <w:widowControl/>
        <w:autoSpaceDE/>
        <w:autoSpaceDN/>
        <w:spacing w:line="300" w:lineRule="auto"/>
        <w:ind w:right="2600"/>
        <w:rPr>
          <w:rFonts w:ascii="Arial" w:eastAsia="Times New Roman" w:hAnsi="Arial" w:cs="Arial"/>
          <w:sz w:val="18"/>
          <w:szCs w:val="18"/>
          <w:lang w:bidi="ar-SA"/>
        </w:rPr>
      </w:pPr>
    </w:p>
    <w:p w14:paraId="66D679F8" w14:textId="77777777" w:rsidR="006166ED" w:rsidRPr="006166ED" w:rsidRDefault="006166ED" w:rsidP="006A2BB9">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1420E6F" w14:textId="5444206E" w:rsidR="0006211D" w:rsidRDefault="00BD50FA" w:rsidP="006A2BB9">
      <w:pPr>
        <w:widowControl/>
        <w:autoSpaceDE/>
        <w:autoSpaceDN/>
        <w:spacing w:line="300" w:lineRule="auto"/>
        <w:rPr>
          <w:rFonts w:ascii="Arial" w:eastAsia="Times New Roman" w:hAnsi="Arial" w:cs="Arial"/>
          <w:lang w:bidi="ar-SA"/>
        </w:rPr>
      </w:pPr>
      <w:r w:rsidRPr="00BD50FA">
        <w:rPr>
          <w:rFonts w:ascii="Arial" w:eastAsia="Times New Roman" w:hAnsi="Arial" w:cs="Arial"/>
          <w:lang w:bidi="ar-SA"/>
        </w:rPr>
        <w:t>The practice will consider patients for telemedicine services when such services are determined appropriate, and the same standard of care expected during a face-to-face visit can be met</w:t>
      </w:r>
      <w:r w:rsidR="00A13CFE" w:rsidRPr="00A13CFE">
        <w:rPr>
          <w:rFonts w:ascii="Arial" w:eastAsia="Times New Roman" w:hAnsi="Arial" w:cs="Arial"/>
          <w:lang w:bidi="ar-SA"/>
        </w:rPr>
        <w:t>.</w:t>
      </w:r>
    </w:p>
    <w:p w14:paraId="63CFC706" w14:textId="77777777" w:rsidR="00A13CFE" w:rsidRPr="006A2BB9" w:rsidRDefault="00A13CFE" w:rsidP="006A2BB9">
      <w:pPr>
        <w:widowControl/>
        <w:autoSpaceDE/>
        <w:autoSpaceDN/>
        <w:spacing w:line="300" w:lineRule="auto"/>
        <w:rPr>
          <w:rFonts w:ascii="Arial" w:eastAsia="Times New Roman" w:hAnsi="Arial" w:cs="Arial"/>
          <w:sz w:val="18"/>
          <w:szCs w:val="18"/>
          <w:lang w:bidi="ar-SA"/>
        </w:rPr>
      </w:pPr>
    </w:p>
    <w:p w14:paraId="48FFF289" w14:textId="77777777" w:rsidR="006166ED" w:rsidRPr="006166ED" w:rsidRDefault="006166ED" w:rsidP="006A2BB9">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293EE7E7" w14:textId="77777777" w:rsidR="00660F26" w:rsidRPr="00660F26" w:rsidRDefault="00660F26" w:rsidP="006A2BB9">
      <w:pPr>
        <w:pStyle w:val="ListParagraph"/>
        <w:widowControl/>
        <w:numPr>
          <w:ilvl w:val="0"/>
          <w:numId w:val="1"/>
        </w:numPr>
        <w:autoSpaceDE/>
        <w:autoSpaceDN/>
        <w:spacing w:line="300" w:lineRule="auto"/>
        <w:ind w:left="360"/>
        <w:rPr>
          <w:rFonts w:ascii="Arial" w:hAnsi="Arial" w:cs="Arial"/>
        </w:rPr>
      </w:pPr>
      <w:r w:rsidRPr="00660F26">
        <w:rPr>
          <w:rFonts w:ascii="Arial" w:hAnsi="Arial" w:cs="Arial"/>
        </w:rPr>
        <w:t>Staff and providers will use their best judgement in identifying and referring patients for telemedicine services.</w:t>
      </w:r>
    </w:p>
    <w:p w14:paraId="6D534622" w14:textId="77777777" w:rsidR="00660F26" w:rsidRPr="00660F26" w:rsidRDefault="00660F26" w:rsidP="006A2BB9">
      <w:pPr>
        <w:pStyle w:val="ListParagraph"/>
        <w:widowControl/>
        <w:numPr>
          <w:ilvl w:val="0"/>
          <w:numId w:val="1"/>
        </w:numPr>
        <w:autoSpaceDE/>
        <w:autoSpaceDN/>
        <w:spacing w:line="300" w:lineRule="auto"/>
        <w:ind w:left="360"/>
        <w:rPr>
          <w:rFonts w:ascii="Arial" w:hAnsi="Arial" w:cs="Arial"/>
        </w:rPr>
      </w:pPr>
      <w:r w:rsidRPr="00660F26">
        <w:rPr>
          <w:rFonts w:ascii="Arial" w:hAnsi="Arial" w:cs="Arial"/>
        </w:rPr>
        <w:t>Patients may be referred for telemedicine services in the following situations:</w:t>
      </w:r>
    </w:p>
    <w:p w14:paraId="2EB66F8D"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sectPr w:rsidR="00660F26" w:rsidRPr="00660F26" w:rsidSect="00660F26">
          <w:headerReference w:type="even" r:id="rId8"/>
          <w:headerReference w:type="default" r:id="rId9"/>
          <w:footerReference w:type="even" r:id="rId10"/>
          <w:footerReference w:type="default" r:id="rId11"/>
          <w:headerReference w:type="first" r:id="rId12"/>
          <w:footerReference w:type="first" r:id="rId13"/>
          <w:type w:val="continuous"/>
          <w:pgSz w:w="12240" w:h="15840"/>
          <w:pgMar w:top="518" w:right="864" w:bottom="274" w:left="864" w:header="720" w:footer="720" w:gutter="0"/>
          <w:cols w:space="720"/>
          <w:docGrid w:linePitch="360"/>
        </w:sectPr>
      </w:pPr>
    </w:p>
    <w:p w14:paraId="27E24EF6"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[Acute noncomplicated complaints]</w:t>
      </w:r>
    </w:p>
    <w:p w14:paraId="2FFC0BEF"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[Medication management]</w:t>
      </w:r>
    </w:p>
    <w:p w14:paraId="73629E1F"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 xml:space="preserve"> [Lab results review]</w:t>
      </w:r>
    </w:p>
    <w:p w14:paraId="29590459"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[Chronic care management]</w:t>
      </w:r>
    </w:p>
    <w:p w14:paraId="57089230"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[Pre- and post-op care]</w:t>
      </w:r>
    </w:p>
    <w:p w14:paraId="7EDD1CB1"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[Specialty care referral]</w:t>
      </w:r>
    </w:p>
    <w:p w14:paraId="03A2A9AA"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[Mental health sessions]</w:t>
      </w:r>
    </w:p>
    <w:p w14:paraId="12539FE0"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[Nutrition services]</w:t>
      </w:r>
    </w:p>
    <w:p w14:paraId="2D2901EF" w14:textId="77777777" w:rsidR="00660F26" w:rsidRPr="00660F26" w:rsidRDefault="00660F26" w:rsidP="006A2BB9">
      <w:pPr>
        <w:pStyle w:val="ListParagraph"/>
        <w:widowControl/>
        <w:numPr>
          <w:ilvl w:val="0"/>
          <w:numId w:val="2"/>
        </w:numPr>
        <w:autoSpaceDE/>
        <w:autoSpaceDN/>
        <w:spacing w:line="300" w:lineRule="auto"/>
        <w:rPr>
          <w:rFonts w:ascii="Arial" w:hAnsi="Arial" w:cs="Arial"/>
          <w:highlight w:val="lightGray"/>
        </w:rPr>
      </w:pPr>
      <w:r w:rsidRPr="00660F26">
        <w:rPr>
          <w:rFonts w:ascii="Arial" w:hAnsi="Arial" w:cs="Arial"/>
          <w:highlight w:val="lightGray"/>
        </w:rPr>
        <w:t>Other situations as determined by the patient’s provider</w:t>
      </w:r>
    </w:p>
    <w:p w14:paraId="193BF216" w14:textId="77777777" w:rsidR="00660F26" w:rsidRPr="00660F26" w:rsidRDefault="00660F26" w:rsidP="006A2BB9">
      <w:pPr>
        <w:pStyle w:val="ListParagraph"/>
        <w:widowControl/>
        <w:numPr>
          <w:ilvl w:val="0"/>
          <w:numId w:val="1"/>
        </w:numPr>
        <w:autoSpaceDE/>
        <w:autoSpaceDN/>
        <w:spacing w:line="300" w:lineRule="auto"/>
        <w:ind w:left="360"/>
        <w:rPr>
          <w:rFonts w:ascii="Arial" w:hAnsi="Arial" w:cs="Arial"/>
        </w:rPr>
        <w:sectPr w:rsidR="00660F26" w:rsidRPr="00660F26" w:rsidSect="00660F26">
          <w:type w:val="continuous"/>
          <w:pgSz w:w="12240" w:h="15840"/>
          <w:pgMar w:top="518" w:right="864" w:bottom="274" w:left="864" w:header="720" w:footer="720" w:gutter="0"/>
          <w:cols w:num="2" w:space="720"/>
          <w:docGrid w:linePitch="360"/>
        </w:sectPr>
      </w:pPr>
    </w:p>
    <w:p w14:paraId="2C9F63DC" w14:textId="77777777" w:rsidR="00660F26" w:rsidRDefault="00660F26" w:rsidP="006A2BB9">
      <w:pPr>
        <w:pStyle w:val="ListParagraph"/>
        <w:widowControl/>
        <w:numPr>
          <w:ilvl w:val="0"/>
          <w:numId w:val="1"/>
        </w:numPr>
        <w:autoSpaceDE/>
        <w:autoSpaceDN/>
        <w:spacing w:line="300" w:lineRule="auto"/>
        <w:ind w:left="360"/>
        <w:rPr>
          <w:rFonts w:ascii="Arial" w:hAnsi="Arial" w:cs="Arial"/>
        </w:rPr>
      </w:pPr>
      <w:r w:rsidRPr="00660F26">
        <w:rPr>
          <w:rFonts w:ascii="Arial" w:hAnsi="Arial" w:cs="Arial"/>
        </w:rPr>
        <w:t xml:space="preserve">Patients may be referred for telemedicine services regardless of insurance coverage. </w:t>
      </w:r>
    </w:p>
    <w:p w14:paraId="6874DBB2" w14:textId="523A9628" w:rsidR="00660F26" w:rsidRPr="00660F26" w:rsidRDefault="00660F26" w:rsidP="006A2BB9">
      <w:pPr>
        <w:pStyle w:val="ListParagraph"/>
        <w:widowControl/>
        <w:numPr>
          <w:ilvl w:val="0"/>
          <w:numId w:val="1"/>
        </w:numPr>
        <w:autoSpaceDE/>
        <w:autoSpaceDN/>
        <w:spacing w:line="300" w:lineRule="auto"/>
        <w:ind w:left="360"/>
        <w:rPr>
          <w:rFonts w:ascii="Arial" w:hAnsi="Arial" w:cs="Arial"/>
        </w:rPr>
      </w:pPr>
      <w:r w:rsidRPr="00660F26">
        <w:rPr>
          <w:rFonts w:ascii="Arial" w:hAnsi="Arial" w:cs="Arial"/>
        </w:rPr>
        <w:t>Once staff/the provider has determined that telemedicine services are appropriate, staff will:</w:t>
      </w:r>
    </w:p>
    <w:p w14:paraId="661D345F" w14:textId="77777777" w:rsidR="00660F26" w:rsidRPr="00660F26" w:rsidRDefault="00660F26" w:rsidP="006A2BB9">
      <w:pPr>
        <w:pStyle w:val="ListParagraph"/>
        <w:widowControl/>
        <w:numPr>
          <w:ilvl w:val="0"/>
          <w:numId w:val="3"/>
        </w:numPr>
        <w:autoSpaceDE/>
        <w:autoSpaceDN/>
        <w:spacing w:line="300" w:lineRule="auto"/>
        <w:rPr>
          <w:rFonts w:ascii="Arial" w:hAnsi="Arial" w:cs="Arial"/>
          <w:i/>
        </w:rPr>
      </w:pPr>
      <w:r w:rsidRPr="00660F26">
        <w:rPr>
          <w:rFonts w:ascii="Arial" w:hAnsi="Arial" w:cs="Arial"/>
        </w:rPr>
        <w:t xml:space="preserve">Discuss the service with the patient or the patient’s legal guardian and obtain written consent </w:t>
      </w:r>
      <w:r w:rsidRPr="00660F26">
        <w:rPr>
          <w:rFonts w:ascii="Arial" w:hAnsi="Arial" w:cs="Arial"/>
          <w:i/>
        </w:rPr>
        <w:t>(See Forms: Telemedicine Informed Consent)</w:t>
      </w:r>
      <w:r w:rsidRPr="00660F26">
        <w:rPr>
          <w:rFonts w:ascii="Arial" w:hAnsi="Arial" w:cs="Arial"/>
        </w:rPr>
        <w:t xml:space="preserve"> </w:t>
      </w:r>
    </w:p>
    <w:p w14:paraId="096F1242" w14:textId="77777777" w:rsidR="00660F26" w:rsidRPr="00660F26" w:rsidRDefault="00660F26" w:rsidP="006A2BB9">
      <w:pPr>
        <w:pStyle w:val="ListParagraph"/>
        <w:widowControl/>
        <w:numPr>
          <w:ilvl w:val="0"/>
          <w:numId w:val="4"/>
        </w:numPr>
        <w:autoSpaceDE/>
        <w:autoSpaceDN/>
        <w:spacing w:line="300" w:lineRule="auto"/>
        <w:ind w:left="720"/>
        <w:rPr>
          <w:rFonts w:ascii="Arial" w:hAnsi="Arial" w:cs="Arial"/>
        </w:rPr>
      </w:pPr>
      <w:r w:rsidRPr="00660F26">
        <w:rPr>
          <w:rFonts w:ascii="Arial" w:hAnsi="Arial" w:cs="Arial"/>
        </w:rPr>
        <w:t xml:space="preserve">Provide the patient with the Telemedicine New Patient Packet </w:t>
      </w:r>
    </w:p>
    <w:p w14:paraId="051C171E" w14:textId="77777777" w:rsidR="00660F26" w:rsidRPr="00660F26" w:rsidRDefault="00660F26" w:rsidP="006A2BB9">
      <w:pPr>
        <w:pStyle w:val="ListParagraph"/>
        <w:widowControl/>
        <w:numPr>
          <w:ilvl w:val="0"/>
          <w:numId w:val="4"/>
        </w:numPr>
        <w:autoSpaceDE/>
        <w:autoSpaceDN/>
        <w:spacing w:line="300" w:lineRule="auto"/>
        <w:ind w:left="720"/>
        <w:rPr>
          <w:rFonts w:ascii="Arial" w:hAnsi="Arial" w:cs="Arial"/>
        </w:rPr>
      </w:pPr>
      <w:r w:rsidRPr="00660F26">
        <w:rPr>
          <w:rFonts w:ascii="Arial" w:hAnsi="Arial" w:cs="Arial"/>
        </w:rPr>
        <w:t>Schedule the telemedicine visit</w:t>
      </w:r>
    </w:p>
    <w:p w14:paraId="2F3BAC31" w14:textId="77777777" w:rsidR="00660F26" w:rsidRPr="00660F26" w:rsidRDefault="00660F26" w:rsidP="006A2BB9">
      <w:pPr>
        <w:pStyle w:val="ListParagraph"/>
        <w:widowControl/>
        <w:numPr>
          <w:ilvl w:val="0"/>
          <w:numId w:val="1"/>
        </w:numPr>
        <w:autoSpaceDE/>
        <w:autoSpaceDN/>
        <w:spacing w:line="300" w:lineRule="auto"/>
        <w:ind w:left="360" w:right="252"/>
        <w:rPr>
          <w:rFonts w:ascii="Arial" w:hAnsi="Arial" w:cs="Arial"/>
        </w:rPr>
      </w:pPr>
      <w:r w:rsidRPr="00660F26">
        <w:rPr>
          <w:rFonts w:ascii="Arial" w:hAnsi="Arial" w:cs="Arial"/>
        </w:rPr>
        <w:t xml:space="preserve">If the patient is referred to a distant-site provider, staff order and authorize the service. </w:t>
      </w:r>
      <w:r w:rsidRPr="00660F26">
        <w:rPr>
          <w:rFonts w:ascii="Arial" w:hAnsi="Arial" w:cs="Arial"/>
          <w:i/>
        </w:rPr>
        <w:t xml:space="preserve">(See: </w:t>
      </w:r>
      <w:proofErr w:type="gramStart"/>
      <w:r w:rsidRPr="00660F26">
        <w:rPr>
          <w:rFonts w:ascii="Arial" w:hAnsi="Arial" w:cs="Arial"/>
          <w:i/>
        </w:rPr>
        <w:t>Clinical :</w:t>
      </w:r>
      <w:proofErr w:type="gramEnd"/>
      <w:r w:rsidRPr="00660F26">
        <w:rPr>
          <w:rFonts w:ascii="Arial" w:hAnsi="Arial" w:cs="Arial"/>
          <w:i/>
        </w:rPr>
        <w:t xml:space="preserve"> Ch. 19 – Referrals – Telemedicine)  </w:t>
      </w:r>
    </w:p>
    <w:p w14:paraId="28669D33" w14:textId="34D43EC8" w:rsidR="00A53C31" w:rsidRPr="006A2BB9" w:rsidRDefault="00660F26" w:rsidP="006A2BB9">
      <w:pPr>
        <w:pStyle w:val="ListParagraph"/>
        <w:widowControl/>
        <w:numPr>
          <w:ilvl w:val="0"/>
          <w:numId w:val="1"/>
        </w:numPr>
        <w:autoSpaceDE/>
        <w:autoSpaceDN/>
        <w:spacing w:line="300" w:lineRule="auto"/>
        <w:ind w:left="360" w:right="252"/>
        <w:rPr>
          <w:rFonts w:ascii="Arial" w:hAnsi="Arial" w:cs="Arial"/>
        </w:rPr>
      </w:pPr>
      <w:r w:rsidRPr="00660F26">
        <w:rPr>
          <w:rFonts w:ascii="Arial" w:hAnsi="Arial" w:cs="Arial"/>
        </w:rPr>
        <w:t xml:space="preserve">Staff explain patient financial responsibilities prior to rendering service. </w:t>
      </w:r>
      <w:r w:rsidRPr="00660F26">
        <w:rPr>
          <w:rFonts w:ascii="Arial" w:hAnsi="Arial" w:cs="Arial"/>
          <w:i/>
        </w:rPr>
        <w:t xml:space="preserve">(See: Clinical: Ch. 19 </w:t>
      </w:r>
      <w:proofErr w:type="gramStart"/>
      <w:r w:rsidRPr="00660F26">
        <w:rPr>
          <w:rFonts w:ascii="Arial" w:hAnsi="Arial" w:cs="Arial"/>
          <w:i/>
        </w:rPr>
        <w:t>–  Administration</w:t>
      </w:r>
      <w:proofErr w:type="gramEnd"/>
      <w:r w:rsidRPr="00660F26">
        <w:rPr>
          <w:rFonts w:ascii="Arial" w:hAnsi="Arial" w:cs="Arial"/>
          <w:i/>
        </w:rPr>
        <w:t xml:space="preserve"> and Billing – Telemedicine)</w:t>
      </w:r>
    </w:p>
    <w:sectPr w:rsidR="00A53C31" w:rsidRPr="006A2BB9" w:rsidSect="00660F26">
      <w:headerReference w:type="default" r:id="rId14"/>
      <w:footerReference w:type="default" r:id="rId15"/>
      <w:type w:val="continuous"/>
      <w:pgSz w:w="12240" w:h="15840"/>
      <w:pgMar w:top="518" w:right="864" w:bottom="27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B8A2" w14:textId="77777777" w:rsidR="007125ED" w:rsidRDefault="007125ED" w:rsidP="00165220">
      <w:r>
        <w:separator/>
      </w:r>
    </w:p>
  </w:endnote>
  <w:endnote w:type="continuationSeparator" w:id="0">
    <w:p w14:paraId="656CDDDD" w14:textId="77777777" w:rsidR="007125ED" w:rsidRDefault="007125ED"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039F" w14:textId="77777777" w:rsidR="008C5D90" w:rsidRDefault="008C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A055" w14:textId="59A36C8E" w:rsidR="00660F26" w:rsidRDefault="00660F26"/>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660F26" w:rsidRPr="00D928B3" w14:paraId="3FB776A1" w14:textId="77777777" w:rsidTr="0087726D">
      <w:trPr>
        <w:trHeight w:val="472"/>
        <w:jc w:val="center"/>
      </w:trPr>
      <w:tc>
        <w:tcPr>
          <w:tcW w:w="5003" w:type="dxa"/>
        </w:tcPr>
        <w:p w14:paraId="03631817" w14:textId="77777777" w:rsidR="00660F26" w:rsidRPr="00D928B3" w:rsidRDefault="00660F26" w:rsidP="006A2BB9">
          <w:pPr>
            <w:spacing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85888" behindDoc="0" locked="0" layoutInCell="1" allowOverlap="1" wp14:anchorId="6C9C7184" wp14:editId="48BBC3EC">
                    <wp:simplePos x="0" y="0"/>
                    <wp:positionH relativeFrom="column">
                      <wp:posOffset>874396</wp:posOffset>
                    </wp:positionH>
                    <wp:positionV relativeFrom="paragraph">
                      <wp:posOffset>174624</wp:posOffset>
                    </wp:positionV>
                    <wp:extent cx="2152650" cy="0"/>
                    <wp:effectExtent l="0" t="0" r="19050" b="19050"/>
                    <wp:wrapNone/>
                    <wp:docPr id="82" name="Straight Connector 82"/>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A79D2" id="Straight Connector 8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" strokecolor="black [3040]"/>
                </w:pict>
              </mc:Fallback>
            </mc:AlternateContent>
          </w:r>
          <w:r w:rsidRPr="00D928B3">
            <w:rPr>
              <w:rFonts w:ascii="Arial" w:hAnsi="Arial" w:cs="Arial"/>
              <w:b/>
            </w:rPr>
            <w:t>Approved by:</w:t>
          </w:r>
        </w:p>
      </w:tc>
      <w:tc>
        <w:tcPr>
          <w:tcW w:w="2767" w:type="dxa"/>
        </w:tcPr>
        <w:p w14:paraId="0B9FDC1D" w14:textId="77777777" w:rsidR="00660F26" w:rsidRPr="00D928B3" w:rsidRDefault="00660F26" w:rsidP="006A2BB9">
          <w:pPr>
            <w:tabs>
              <w:tab w:val="right" w:pos="2276"/>
            </w:tabs>
            <w:spacing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86912" behindDoc="0" locked="0" layoutInCell="1" allowOverlap="1" wp14:anchorId="66580F05" wp14:editId="5B452E4C">
                    <wp:simplePos x="0" y="0"/>
                    <wp:positionH relativeFrom="column">
                      <wp:posOffset>649605</wp:posOffset>
                    </wp:positionH>
                    <wp:positionV relativeFrom="paragraph">
                      <wp:posOffset>174624</wp:posOffset>
                    </wp:positionV>
                    <wp:extent cx="10191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925C59" id="Straight Connector 8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0ECBE907" w14:textId="77777777" w:rsidR="00660F26" w:rsidRPr="00D928B3" w:rsidRDefault="00660F26" w:rsidP="006A2BB9">
          <w:pPr>
            <w:spacing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87936" behindDoc="0" locked="0" layoutInCell="1" allowOverlap="1" wp14:anchorId="080E00A4" wp14:editId="1C3B3DB1">
                    <wp:simplePos x="0" y="0"/>
                    <wp:positionH relativeFrom="column">
                      <wp:posOffset>582930</wp:posOffset>
                    </wp:positionH>
                    <wp:positionV relativeFrom="paragraph">
                      <wp:posOffset>155574</wp:posOffset>
                    </wp:positionV>
                    <wp:extent cx="876300" cy="0"/>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1BA67" id="Straight Connector 8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7C4EC418" w14:textId="0505DAC0" w:rsidR="00660F26" w:rsidRPr="00A4307F" w:rsidRDefault="00660F26" w:rsidP="00660F26">
    <w:pPr>
      <w:spacing w:before="80" w:after="120"/>
      <w:jc w:val="center"/>
      <w:rPr>
        <w:rFonts w:ascii="Arial" w:hAnsi="Arial" w:cs="Arial"/>
        <w:b/>
        <w:bCs/>
        <w:sz w:val="20"/>
        <w:szCs w:val="20"/>
      </w:rPr>
    </w:pPr>
    <w:r w:rsidRPr="008626E7">
      <w:rPr>
        <w:noProof/>
        <w:sz w:val="56"/>
        <w:szCs w:val="56"/>
        <w:lang w:bidi="ar-SA"/>
      </w:rPr>
      <mc:AlternateContent>
        <mc:Choice Requires="wps">
          <w:drawing>
            <wp:anchor distT="0" distB="0" distL="114300" distR="114300" simplePos="0" relativeHeight="251684864" behindDoc="0" locked="0" layoutInCell="1" allowOverlap="1" wp14:anchorId="27BA65ED" wp14:editId="21DA48C0">
              <wp:simplePos x="0" y="0"/>
              <wp:positionH relativeFrom="page">
                <wp:posOffset>6055833</wp:posOffset>
              </wp:positionH>
              <wp:positionV relativeFrom="paragraph">
                <wp:posOffset>189230</wp:posOffset>
              </wp:positionV>
              <wp:extent cx="63500" cy="421005"/>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9993" id="Rectangle 85" o:spid="_x0000_s1026" style="position:absolute;margin-left:476.85pt;margin-top:14.9pt;width:5pt;height:33.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" fillcolor="black" stroked="f">
              <w10:wrap anchorx="page"/>
            </v:rect>
          </w:pict>
        </mc:Fallback>
      </mc:AlternateContent>
    </w:r>
    <w:r w:rsidRPr="001B1218">
      <w:rPr>
        <w:rFonts w:ascii="Arial" w:hAnsi="Arial" w:cs="Arial"/>
        <w:noProof/>
        <w:sz w:val="19"/>
        <w:szCs w:val="19"/>
      </w:rPr>
      <w:drawing>
        <wp:anchor distT="0" distB="0" distL="274320" distR="274320" simplePos="0" relativeHeight="251683840" behindDoc="0" locked="0" layoutInCell="1" allowOverlap="1" wp14:anchorId="4F1F6587" wp14:editId="4944EB12">
          <wp:simplePos x="0" y="0"/>
          <wp:positionH relativeFrom="margin">
            <wp:posOffset>5671023</wp:posOffset>
          </wp:positionH>
          <wp:positionV relativeFrom="paragraph">
            <wp:posOffset>196865</wp:posOffset>
          </wp:positionV>
          <wp:extent cx="868680" cy="484632"/>
          <wp:effectExtent l="0" t="0" r="7620" b="0"/>
          <wp:wrapSquare wrapText="bothSides"/>
          <wp:docPr id="86"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632"/>
                  </a:xfrm>
                  <a:prstGeom prst="rect">
                    <a:avLst/>
                  </a:prstGeom>
                </pic:spPr>
              </pic:pic>
            </a:graphicData>
          </a:graphic>
          <wp14:sizeRelH relativeFrom="margin">
            <wp14:pctWidth>0</wp14:pctWidth>
          </wp14:sizeRelH>
          <wp14:sizeRelV relativeFrom="margin">
            <wp14:pctHeight>0</wp14:pctHeight>
          </wp14:sizeRelV>
        </wp:anchor>
      </w:drawing>
    </w:r>
    <w:r w:rsidRPr="00A4307F">
      <w:rPr>
        <w:rFonts w:ascii="Arial" w:hAnsi="Arial" w:cs="Arial"/>
        <w:b/>
        <w:bCs/>
        <w:sz w:val="20"/>
        <w:szCs w:val="20"/>
      </w:rPr>
      <w:t xml:space="preserve">© 2019 Texas Medical Association.  </w:t>
    </w:r>
    <w:r w:rsidRPr="00A4307F">
      <w:rPr>
        <w:rFonts w:ascii="Arial" w:hAnsi="Arial" w:cs="Arial"/>
        <w:b/>
        <w:bCs/>
        <w:color w:val="000000"/>
        <w:sz w:val="20"/>
        <w:szCs w:val="20"/>
        <w:lang w:val="en-GB" w:eastAsia="en-GB"/>
      </w:rPr>
      <w:t>All rights reserved.</w:t>
    </w:r>
  </w:p>
  <w:p w14:paraId="74C5C31A" w14:textId="7BE5D900" w:rsidR="00660F26" w:rsidRDefault="00660F26" w:rsidP="00660F26">
    <w:pPr>
      <w:pStyle w:val="BodyText"/>
      <w:jc w:val="right"/>
      <w:rPr>
        <w:rFonts w:ascii="Arial" w:hAnsi="Arial" w:cs="Arial"/>
        <w:color w:val="231F20"/>
        <w:sz w:val="19"/>
        <w:szCs w:val="19"/>
      </w:rPr>
    </w:pPr>
    <w:r w:rsidRPr="001B1218">
      <w:rPr>
        <w:rFonts w:ascii="Arial" w:hAnsi="Arial" w:cs="Arial"/>
        <w:color w:val="231F20"/>
        <w:sz w:val="19"/>
        <w:szCs w:val="19"/>
      </w:rPr>
      <w:t>The Texas Medical Associatio</w:t>
    </w:r>
    <w:r>
      <w:rPr>
        <w:rFonts w:ascii="Arial" w:hAnsi="Arial" w:cs="Arial"/>
        <w:color w:val="231F20"/>
        <w:sz w:val="19"/>
        <w:szCs w:val="19"/>
      </w:rPr>
      <w:t>n acknowledges</w:t>
    </w:r>
    <w:r w:rsidRPr="001B1218">
      <w:rPr>
        <w:rFonts w:ascii="Arial" w:hAnsi="Arial" w:cs="Arial"/>
        <w:color w:val="231F20"/>
        <w:sz w:val="19"/>
        <w:szCs w:val="19"/>
      </w:rPr>
      <w:t xml:space="preserve"> the Texas Medical Association Special Funds Foundation for its support of this document through funds awarded by The Physicians Foundation.</w:t>
    </w:r>
  </w:p>
  <w:p w14:paraId="6B75C2E3" w14:textId="3E0434D3" w:rsidR="00660F26" w:rsidRPr="006A2BB9" w:rsidRDefault="00660F26" w:rsidP="006A2BB9">
    <w:pPr>
      <w:pStyle w:val="BodyText"/>
      <w:rPr>
        <w:rFonts w:ascii="Arial" w:hAnsi="Arial" w:cs="Arial"/>
        <w:b/>
        <w:bCs/>
        <w:sz w:val="16"/>
        <w:szCs w:val="16"/>
      </w:rPr>
    </w:pPr>
    <w:r>
      <w:rPr>
        <w:rFonts w:ascii="Arial" w:hAnsi="Arial" w:cs="Arial"/>
        <w:b/>
        <w:bCs/>
        <w:color w:val="231F20"/>
        <w:spacing w:val="-3"/>
        <w:sz w:val="16"/>
        <w:szCs w:val="16"/>
      </w:rPr>
      <w:br/>
    </w:r>
    <w:r w:rsidRPr="00050DC9">
      <w:rPr>
        <w:rFonts w:ascii="Arial" w:hAnsi="Arial" w:cs="Arial"/>
        <w:b/>
        <w:bCs/>
        <w:noProof/>
        <w:sz w:val="15"/>
        <w:szCs w:val="15"/>
      </w:rPr>
      <w:t>NOTICE</w:t>
    </w:r>
    <w:r w:rsidRPr="00050DC9">
      <w:rPr>
        <w:rFonts w:ascii="Arial" w:hAnsi="Arial" w:cs="Arial"/>
        <w:noProof/>
        <w:sz w:val="15"/>
        <w:szCs w:val="15"/>
      </w:rPr>
      <w:t>: This information is provided as a commentary on legal issues and is not intended to provide advice on any specific legal matter. This information should NOT be considered legal advice and receipt of it does not create an attorney-client relationship. </w:t>
    </w:r>
    <w:r w:rsidRPr="00050DC9">
      <w:rPr>
        <w:rFonts w:ascii="Arial" w:hAnsi="Arial" w:cs="Arial"/>
        <w:b/>
        <w:bCs/>
        <w:noProof/>
        <w:sz w:val="15"/>
        <w:szCs w:val="15"/>
        <w:u w:val="single"/>
      </w:rPr>
      <w:t>This is not a substitute for the advice of an attorney</w:t>
    </w:r>
    <w:r w:rsidRPr="00050DC9">
      <w:rPr>
        <w:rFonts w:ascii="Arial" w:hAnsi="Arial" w:cs="Arial"/>
        <w:noProof/>
        <w:sz w:val="15"/>
        <w:szCs w:val="15"/>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Pr>
        <w:noProof/>
        <w:sz w:val="16"/>
        <w:szCs w:val="16"/>
      </w:rPr>
      <w:br/>
    </w:r>
    <w:r>
      <w:rPr>
        <w:noProof/>
        <w:sz w:val="16"/>
        <w:szCs w:val="16"/>
      </w:rPr>
      <w:br/>
    </w:r>
    <w:r w:rsidRPr="00A4307F">
      <w:rPr>
        <w:rFonts w:ascii="Arial" w:hAnsi="Arial" w:cs="Arial"/>
        <w:b/>
        <w:bCs/>
        <w:color w:val="231F20"/>
        <w:spacing w:val="-3"/>
        <w:sz w:val="16"/>
        <w:szCs w:val="16"/>
      </w:rPr>
      <w:t xml:space="preserve">RELEASED: </w:t>
    </w:r>
    <w:r w:rsidRPr="00926822">
      <w:rPr>
        <w:rFonts w:ascii="Arial" w:hAnsi="Arial" w:cs="Arial"/>
        <w:b/>
        <w:bCs/>
        <w:color w:val="231F20"/>
        <w:sz w:val="16"/>
        <w:szCs w:val="16"/>
      </w:rPr>
      <w:t>March 2020</w:t>
    </w:r>
    <w:r w:rsidRPr="00926822">
      <w:rPr>
        <w:rFonts w:ascii="Arial" w:hAnsi="Arial" w:cs="Arial"/>
        <w:b/>
        <w:bCs/>
        <w:sz w:val="16"/>
        <w:szCs w:val="16"/>
      </w:rPr>
      <w:t xml:space="preserve">, </w:t>
    </w:r>
    <w:r w:rsidRPr="00926822">
      <w:rPr>
        <w:rFonts w:ascii="Arial" w:hAnsi="Arial" w:cs="Arial"/>
        <w:b/>
        <w:bCs/>
        <w:color w:val="231F20"/>
        <w:sz w:val="16"/>
        <w:szCs w:val="16"/>
      </w:rPr>
      <w:t>Texas</w:t>
    </w:r>
    <w:r w:rsidRPr="00A4307F">
      <w:rPr>
        <w:rFonts w:ascii="Arial" w:hAnsi="Arial" w:cs="Arial"/>
        <w:b/>
        <w:bCs/>
        <w:color w:val="231F20"/>
        <w:sz w:val="16"/>
        <w:szCs w:val="16"/>
      </w:rPr>
      <w:t xml:space="preserve">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3930" w14:textId="77777777" w:rsidR="008C5D90" w:rsidRDefault="008C5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A4307F" w:rsidRDefault="009D42FE" w:rsidP="00926822">
    <w:pPr>
      <w:spacing w:before="80" w:after="120"/>
      <w:jc w:val="center"/>
      <w:rPr>
        <w:rFonts w:ascii="Arial" w:hAnsi="Arial" w:cs="Arial"/>
        <w:b/>
        <w:bCs/>
        <w:sz w:val="20"/>
        <w:szCs w:val="20"/>
      </w:rPr>
    </w:pPr>
    <w:r w:rsidRPr="008626E7">
      <w:rPr>
        <w:noProof/>
        <w:sz w:val="56"/>
        <w:szCs w:val="56"/>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r w:rsidR="00926822" w:rsidRPr="001B1218">
      <w:rPr>
        <w:rFonts w:ascii="Arial" w:hAnsi="Arial" w:cs="Arial"/>
        <w:noProof/>
        <w:sz w:val="19"/>
        <w:szCs w:val="19"/>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A4307F">
      <w:rPr>
        <w:rFonts w:ascii="Arial" w:hAnsi="Arial" w:cs="Arial"/>
        <w:b/>
        <w:bCs/>
        <w:sz w:val="20"/>
        <w:szCs w:val="20"/>
      </w:rPr>
      <w:t xml:space="preserve">© 2019 Texas Medical Association.  </w:t>
    </w:r>
    <w:r w:rsidR="00165220" w:rsidRPr="00A4307F">
      <w:rPr>
        <w:rFonts w:ascii="Arial" w:hAnsi="Arial" w:cs="Arial"/>
        <w:b/>
        <w:bCs/>
        <w:color w:val="000000"/>
        <w:sz w:val="20"/>
        <w:szCs w:val="20"/>
        <w:lang w:val="en-GB" w:eastAsia="en-GB"/>
      </w:rPr>
      <w:t>All rights reserved.</w:t>
    </w:r>
  </w:p>
  <w:p w14:paraId="407C0BC2" w14:textId="1DB892DD" w:rsidR="00A4307F" w:rsidRDefault="006109FB" w:rsidP="00926822">
    <w:pPr>
      <w:pStyle w:val="BodyText"/>
      <w:jc w:val="right"/>
      <w:rPr>
        <w:rFonts w:ascii="Arial" w:hAnsi="Arial" w:cs="Arial"/>
        <w:color w:val="231F20"/>
        <w:sz w:val="19"/>
        <w:szCs w:val="19"/>
      </w:rPr>
    </w:pPr>
    <w:r w:rsidRPr="001B1218">
      <w:rPr>
        <w:rFonts w:ascii="Arial" w:hAnsi="Arial" w:cs="Arial"/>
        <w:color w:val="231F20"/>
        <w:sz w:val="19"/>
        <w:szCs w:val="19"/>
      </w:rPr>
      <w:t>The Texas Medical Associatio</w:t>
    </w:r>
    <w:r w:rsidR="001B1218">
      <w:rPr>
        <w:rFonts w:ascii="Arial" w:hAnsi="Arial" w:cs="Arial"/>
        <w:color w:val="231F20"/>
        <w:sz w:val="19"/>
        <w:szCs w:val="19"/>
      </w:rPr>
      <w:t>n acknowledges</w:t>
    </w:r>
    <w:r w:rsidRPr="001B1218">
      <w:rPr>
        <w:rFonts w:ascii="Arial" w:hAnsi="Arial" w:cs="Arial"/>
        <w:color w:val="231F20"/>
        <w:sz w:val="19"/>
        <w:szCs w:val="19"/>
      </w:rPr>
      <w:t xml:space="preserve"> the Texas Medical Association Special Funds Foundation for its support of this document through funds awarded by The Physicians Foundation.</w:t>
    </w:r>
  </w:p>
  <w:p w14:paraId="5FCF330B" w14:textId="0C6EE9A9" w:rsidR="00D928B3" w:rsidRDefault="00926822" w:rsidP="00926822">
    <w:pPr>
      <w:pStyle w:val="BodyText"/>
      <w:rPr>
        <w:rFonts w:ascii="Arial" w:hAnsi="Arial" w:cs="Arial"/>
        <w:b/>
        <w:bCs/>
        <w:color w:val="231F20"/>
        <w:spacing w:val="-3"/>
        <w:sz w:val="16"/>
        <w:szCs w:val="16"/>
      </w:rPr>
    </w:pPr>
    <w:r>
      <w:rPr>
        <w:rFonts w:ascii="Arial" w:hAnsi="Arial" w:cs="Arial"/>
        <w:b/>
        <w:bCs/>
        <w:color w:val="231F20"/>
        <w:spacing w:val="-3"/>
        <w:sz w:val="16"/>
        <w:szCs w:val="16"/>
      </w:rPr>
      <w:br/>
    </w:r>
  </w:p>
  <w:p w14:paraId="41DBBD32" w14:textId="2E5A1087" w:rsidR="00A4307F" w:rsidRPr="00A4307F" w:rsidRDefault="00050DC9" w:rsidP="00050DC9">
    <w:pPr>
      <w:pStyle w:val="BodyText"/>
      <w:rPr>
        <w:rFonts w:ascii="Arial" w:hAnsi="Arial" w:cs="Arial"/>
        <w:b/>
        <w:bCs/>
        <w:sz w:val="16"/>
        <w:szCs w:val="16"/>
      </w:rPr>
    </w:pPr>
    <w:r w:rsidRPr="00050DC9">
      <w:rPr>
        <w:rFonts w:ascii="Arial" w:hAnsi="Arial" w:cs="Arial"/>
        <w:b/>
        <w:bCs/>
        <w:noProof/>
        <w:sz w:val="15"/>
        <w:szCs w:val="15"/>
      </w:rPr>
      <w:t>NOTICE</w:t>
    </w:r>
    <w:r w:rsidRPr="00050DC9">
      <w:rPr>
        <w:rFonts w:ascii="Arial" w:hAnsi="Arial" w:cs="Arial"/>
        <w:noProof/>
        <w:sz w:val="15"/>
        <w:szCs w:val="15"/>
      </w:rPr>
      <w:t>: This information is provided as a commentary on legal issues and is not intended to provide advice on any specific legal matter. This information should NOT be considered legal advice and receipt of it does not create an attorney-client relationship. </w:t>
    </w:r>
    <w:r w:rsidRPr="00050DC9">
      <w:rPr>
        <w:rFonts w:ascii="Arial" w:hAnsi="Arial" w:cs="Arial"/>
        <w:b/>
        <w:bCs/>
        <w:noProof/>
        <w:sz w:val="15"/>
        <w:szCs w:val="15"/>
        <w:u w:val="single"/>
      </w:rPr>
      <w:t>This is not a substitute for the advice of an attorney</w:t>
    </w:r>
    <w:r w:rsidRPr="00050DC9">
      <w:rPr>
        <w:rFonts w:ascii="Arial" w:hAnsi="Arial" w:cs="Arial"/>
        <w:noProof/>
        <w:sz w:val="15"/>
        <w:szCs w:val="15"/>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Pr>
        <w:noProof/>
        <w:sz w:val="16"/>
        <w:szCs w:val="16"/>
      </w:rPr>
      <w:br/>
    </w:r>
    <w:r>
      <w:rPr>
        <w:noProof/>
        <w:sz w:val="16"/>
        <w:szCs w:val="16"/>
      </w:rPr>
      <w:br/>
    </w:r>
    <w:r w:rsidR="00A4307F" w:rsidRPr="00A4307F">
      <w:rPr>
        <w:rFonts w:ascii="Arial" w:hAnsi="Arial" w:cs="Arial"/>
        <w:b/>
        <w:bCs/>
        <w:color w:val="231F20"/>
        <w:spacing w:val="-3"/>
        <w:sz w:val="16"/>
        <w:szCs w:val="16"/>
      </w:rPr>
      <w:t xml:space="preserve">RELEASED: </w:t>
    </w:r>
    <w:r w:rsidR="00A4307F" w:rsidRPr="00926822">
      <w:rPr>
        <w:rFonts w:ascii="Arial" w:hAnsi="Arial" w:cs="Arial"/>
        <w:b/>
        <w:bCs/>
        <w:color w:val="231F20"/>
        <w:sz w:val="16"/>
        <w:szCs w:val="16"/>
      </w:rPr>
      <w:t>March 2020</w:t>
    </w:r>
    <w:r w:rsidR="00A4307F" w:rsidRPr="00926822">
      <w:rPr>
        <w:rFonts w:ascii="Arial" w:hAnsi="Arial" w:cs="Arial"/>
        <w:b/>
        <w:bCs/>
        <w:sz w:val="16"/>
        <w:szCs w:val="16"/>
      </w:rPr>
      <w:t xml:space="preserve">, </w:t>
    </w:r>
    <w:r w:rsidR="00A4307F" w:rsidRPr="00926822">
      <w:rPr>
        <w:rFonts w:ascii="Arial" w:hAnsi="Arial" w:cs="Arial"/>
        <w:b/>
        <w:bCs/>
        <w:color w:val="231F20"/>
        <w:sz w:val="16"/>
        <w:szCs w:val="16"/>
      </w:rPr>
      <w:t>Texas</w:t>
    </w:r>
    <w:r w:rsidR="00A4307F" w:rsidRPr="00A4307F">
      <w:rPr>
        <w:rFonts w:ascii="Arial" w:hAnsi="Arial" w:cs="Arial"/>
        <w:b/>
        <w:bCs/>
        <w:color w:val="231F20"/>
        <w:sz w:val="16"/>
        <w:szCs w:val="16"/>
      </w:rPr>
      <w:t xml:space="preserve">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37D78" w14:textId="77777777" w:rsidR="007125ED" w:rsidRDefault="007125ED" w:rsidP="00165220">
      <w:r>
        <w:separator/>
      </w:r>
    </w:p>
  </w:footnote>
  <w:footnote w:type="continuationSeparator" w:id="0">
    <w:p w14:paraId="0A8A6F06" w14:textId="77777777" w:rsidR="007125ED" w:rsidRDefault="007125ED"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3940" w14:textId="77777777" w:rsidR="008C5D90" w:rsidRDefault="008C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7DB7" w14:textId="53A8E14B" w:rsidR="00660F26" w:rsidRDefault="008C5D90" w:rsidP="00660F26">
    <w:pPr>
      <w:ind w:left="446" w:right="-1670"/>
      <w:rPr>
        <w:rFonts w:ascii="Garamond"/>
        <w:b/>
        <w:color w:val="231F20"/>
        <w:w w:val="95"/>
        <w:sz w:val="56"/>
        <w:szCs w:val="56"/>
      </w:rPr>
    </w:pPr>
    <w:bookmarkStart w:id="0" w:name="_GoBack"/>
    <w:bookmarkEnd w:id="0"/>
    <w:r>
      <w:rPr>
        <w:noProof/>
      </w:rPr>
      <w:drawing>
        <wp:anchor distT="0" distB="0" distL="114300" distR="114300" simplePos="0" relativeHeight="251689984" behindDoc="0" locked="0" layoutInCell="1" allowOverlap="1" wp14:anchorId="118E7C83" wp14:editId="73FAF3C4">
          <wp:simplePos x="0" y="0"/>
          <wp:positionH relativeFrom="margin">
            <wp:posOffset>5541010</wp:posOffset>
          </wp:positionH>
          <wp:positionV relativeFrom="paragraph">
            <wp:posOffset>31531</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F26" w:rsidRPr="008626E7">
      <w:rPr>
        <w:noProof/>
        <w:sz w:val="56"/>
        <w:szCs w:val="56"/>
        <w:lang w:bidi="ar-SA"/>
      </w:rPr>
      <mc:AlternateContent>
        <mc:Choice Requires="wps">
          <w:drawing>
            <wp:anchor distT="0" distB="0" distL="114300" distR="114300" simplePos="0" relativeHeight="251680768" behindDoc="0" locked="0" layoutInCell="1" allowOverlap="1" wp14:anchorId="6D6F922C" wp14:editId="11F372BC">
              <wp:simplePos x="0" y="0"/>
              <wp:positionH relativeFrom="page">
                <wp:posOffset>557530</wp:posOffset>
              </wp:positionH>
              <wp:positionV relativeFrom="paragraph">
                <wp:posOffset>5878</wp:posOffset>
              </wp:positionV>
              <wp:extent cx="128016" cy="749808"/>
              <wp:effectExtent l="0" t="0" r="5715"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 cy="749808"/>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0C93" id="Rectangle 71" o:spid="_x0000_s1026" style="position:absolute;margin-left:43.9pt;margin-top:.45pt;width:10.1pt;height:59.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" fillcolor="#c61e55" stroked="f">
              <w10:wrap anchorx="page"/>
            </v:rect>
          </w:pict>
        </mc:Fallback>
      </mc:AlternateContent>
    </w:r>
    <w:r w:rsidR="00660F26">
      <w:rPr>
        <w:rFonts w:ascii="Garamond"/>
        <w:b/>
        <w:color w:val="231F20"/>
        <w:w w:val="95"/>
        <w:sz w:val="56"/>
        <w:szCs w:val="56"/>
      </w:rPr>
      <w:t xml:space="preserve">Patient </w:t>
    </w:r>
    <w:r w:rsidR="00660F26">
      <w:rPr>
        <w:rFonts w:ascii="Garamond"/>
        <w:b/>
        <w:color w:val="231F20"/>
        <w:w w:val="95"/>
        <w:sz w:val="56"/>
        <w:szCs w:val="56"/>
      </w:rPr>
      <w:br/>
      <w:t>Selection</w:t>
    </w:r>
  </w:p>
  <w:p w14:paraId="4D99F786" w14:textId="77777777" w:rsidR="00660F26" w:rsidRDefault="00660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72A6" w14:textId="77777777" w:rsidR="008C5D90" w:rsidRDefault="008C5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615E" w14:textId="5AA1E071" w:rsidR="006862FF" w:rsidRPr="006862FF" w:rsidRDefault="006862FF" w:rsidP="006862FF">
    <w:pPr>
      <w:ind w:left="446" w:right="-1670"/>
      <w:rPr>
        <w:rFonts w:ascii="Arial" w:hAnsi="Arial" w:cs="Arial"/>
        <w:b/>
        <w:color w:val="231F20"/>
        <w:w w:val="9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42B50"/>
    <w:multiLevelType w:val="hybridMultilevel"/>
    <w:tmpl w:val="47D62CB4"/>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D7AFB"/>
    <w:multiLevelType w:val="hybridMultilevel"/>
    <w:tmpl w:val="1D2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D1E23"/>
    <w:multiLevelType w:val="hybridMultilevel"/>
    <w:tmpl w:val="DAD48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F7E88"/>
    <w:multiLevelType w:val="hybridMultilevel"/>
    <w:tmpl w:val="EE34DB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22C1E"/>
    <w:rsid w:val="00050DC9"/>
    <w:rsid w:val="0006211D"/>
    <w:rsid w:val="000C41AC"/>
    <w:rsid w:val="000C5D99"/>
    <w:rsid w:val="000E4298"/>
    <w:rsid w:val="00106515"/>
    <w:rsid w:val="00165220"/>
    <w:rsid w:val="001B1218"/>
    <w:rsid w:val="00292E8F"/>
    <w:rsid w:val="00293A1F"/>
    <w:rsid w:val="002951F6"/>
    <w:rsid w:val="00303585"/>
    <w:rsid w:val="00341620"/>
    <w:rsid w:val="003A29E1"/>
    <w:rsid w:val="004264C4"/>
    <w:rsid w:val="004346C2"/>
    <w:rsid w:val="00460B15"/>
    <w:rsid w:val="004B4F6B"/>
    <w:rsid w:val="004E721E"/>
    <w:rsid w:val="004F4CBD"/>
    <w:rsid w:val="005116A7"/>
    <w:rsid w:val="00596DB2"/>
    <w:rsid w:val="005E18F0"/>
    <w:rsid w:val="005E367D"/>
    <w:rsid w:val="006109FB"/>
    <w:rsid w:val="006166ED"/>
    <w:rsid w:val="00660BD7"/>
    <w:rsid w:val="00660F26"/>
    <w:rsid w:val="006862FF"/>
    <w:rsid w:val="006A2BB9"/>
    <w:rsid w:val="006A586F"/>
    <w:rsid w:val="006F5376"/>
    <w:rsid w:val="007125ED"/>
    <w:rsid w:val="007C4755"/>
    <w:rsid w:val="008626E7"/>
    <w:rsid w:val="00896101"/>
    <w:rsid w:val="008C5D90"/>
    <w:rsid w:val="00902C21"/>
    <w:rsid w:val="00926822"/>
    <w:rsid w:val="00934E8F"/>
    <w:rsid w:val="00987395"/>
    <w:rsid w:val="009D4074"/>
    <w:rsid w:val="009D42FE"/>
    <w:rsid w:val="00A13CFE"/>
    <w:rsid w:val="00A4307F"/>
    <w:rsid w:val="00A53C31"/>
    <w:rsid w:val="00B06870"/>
    <w:rsid w:val="00BD50FA"/>
    <w:rsid w:val="00C33D43"/>
    <w:rsid w:val="00CF2AB1"/>
    <w:rsid w:val="00D6243A"/>
    <w:rsid w:val="00D87C4D"/>
    <w:rsid w:val="00D928B3"/>
    <w:rsid w:val="00DF62E6"/>
    <w:rsid w:val="00EA6402"/>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74838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0947-5C4A-4118-B13A-32E4A0B6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8</cp:revision>
  <cp:lastPrinted>2019-09-17T17:12:00Z</cp:lastPrinted>
  <dcterms:created xsi:type="dcterms:W3CDTF">2020-03-18T21:12:00Z</dcterms:created>
  <dcterms:modified xsi:type="dcterms:W3CDTF">2020-03-19T06:07:00Z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